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68" w:rsidRPr="00074068" w:rsidRDefault="00074068" w:rsidP="00074068">
      <w:pPr>
        <w:shd w:val="clear" w:color="auto" w:fill="E8F3F7"/>
        <w:spacing w:after="140" w:line="450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7406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МУНИЦИПАЛЬНОЕ АВТОНОМНОЕ ДОШКОЛЬНОЕ ОБРАЗОВАТЕЛЬНОЕ УЧРЕЖДЕНИЕ ДЕТСКИЙ САД № 64 "КОЛОКОЛЬЧИК" КОМБИНИРОВАННОГО ВИДА Г. УЛАН-УДЭ</w:t>
      </w:r>
    </w:p>
    <w:p w:rsidR="00074068" w:rsidRPr="00074068" w:rsidRDefault="00074068" w:rsidP="00074068">
      <w:pPr>
        <w:spacing w:after="0" w:line="300" w:lineRule="atLeast"/>
        <w:textAlignment w:val="top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Численность получателей услуг организации:</w:t>
      </w:r>
    </w:p>
    <w:p w:rsidR="00074068" w:rsidRPr="00074068" w:rsidRDefault="00074068" w:rsidP="000740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40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74068" w:rsidRPr="00074068" w:rsidRDefault="00074068" w:rsidP="00074068">
      <w:pPr>
        <w:spacing w:after="0" w:line="300" w:lineRule="atLeast"/>
        <w:textAlignment w:val="top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602</w:t>
      </w:r>
    </w:p>
    <w:p w:rsidR="00074068" w:rsidRPr="00074068" w:rsidRDefault="00074068" w:rsidP="00074068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Численность респондентов:</w:t>
      </w:r>
    </w:p>
    <w:p w:rsidR="00074068" w:rsidRPr="00074068" w:rsidRDefault="00074068" w:rsidP="00074068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</w:t>
      </w:r>
    </w:p>
    <w:p w:rsidR="00074068" w:rsidRPr="00074068" w:rsidRDefault="00074068" w:rsidP="00074068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241</w:t>
      </w:r>
      <w:bookmarkStart w:id="0" w:name="_GoBack"/>
      <w:bookmarkEnd w:id="0"/>
    </w:p>
    <w:p w:rsidR="00074068" w:rsidRPr="00074068" w:rsidRDefault="00074068" w:rsidP="00074068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Доля респондентов:</w:t>
      </w:r>
    </w:p>
    <w:p w:rsidR="00074068" w:rsidRPr="00074068" w:rsidRDefault="00074068" w:rsidP="00074068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</w:t>
      </w:r>
    </w:p>
    <w:p w:rsidR="00074068" w:rsidRPr="00074068" w:rsidRDefault="00074068" w:rsidP="00074068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40</w:t>
      </w:r>
    </w:p>
    <w:p w:rsidR="00074068" w:rsidRPr="00074068" w:rsidRDefault="00074068" w:rsidP="00074068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b/>
          <w:bCs/>
          <w:color w:val="919191"/>
          <w:sz w:val="36"/>
          <w:szCs w:val="36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aps/>
          <w:color w:val="919191"/>
          <w:sz w:val="36"/>
          <w:szCs w:val="36"/>
          <w:lang w:eastAsia="ru-RU"/>
        </w:rPr>
        <w:t>ОБРАЗОВАНИЕ</w:t>
      </w:r>
    </w:p>
    <w:p w:rsidR="00074068" w:rsidRPr="00074068" w:rsidRDefault="00074068" w:rsidP="00074068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Значение показателей по критерию за 2022 год</w:t>
      </w:r>
    </w:p>
    <w:p w:rsidR="00074068" w:rsidRPr="00074068" w:rsidRDefault="00074068" w:rsidP="00074068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074068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t>Критерий "Открытость и доступность информации об организации"</w:t>
      </w:r>
    </w:p>
    <w:p w:rsidR="00074068" w:rsidRPr="00074068" w:rsidRDefault="00074068" w:rsidP="00074068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:rsidR="00074068" w:rsidRPr="00074068" w:rsidRDefault="00074068" w:rsidP="00074068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99.2</w:t>
      </w:r>
    </w:p>
    <w:p w:rsidR="00074068" w:rsidRPr="00074068" w:rsidRDefault="00074068" w:rsidP="00074068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074068" w:rsidRPr="00074068" w:rsidRDefault="00074068" w:rsidP="00074068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Pr="00074068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функционирование,</w:t>
        </w:r>
      </w:hyperlink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30%),</w:t>
      </w:r>
      <w:r w:rsidRPr="00074068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074068" w:rsidRPr="00074068" w:rsidRDefault="00074068" w:rsidP="00074068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30.0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074068" w:rsidRPr="00074068" w:rsidRDefault="00074068" w:rsidP="00074068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:rsidR="00074068" w:rsidRPr="00074068" w:rsidRDefault="00074068" w:rsidP="00074068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074068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074068" w:rsidRPr="00074068" w:rsidRDefault="00074068" w:rsidP="00074068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1.2.1 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 наличии и функционируют более трех дистанционных способов </w:t>
      </w:r>
      <w:proofErr w:type="spell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взаимодействия</w:t>
      </w:r>
      <w:proofErr w:type="gram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  <w:proofErr w:type="spellEnd"/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6" w:tgtFrame="_blank" w:history="1">
        <w:proofErr w:type="gramStart"/>
        <w:r w:rsidRPr="00074068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1.1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Федерации,</w:t>
        </w:r>
      </w:hyperlink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30%),</w:t>
      </w:r>
      <w:r w:rsidRPr="00074068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:rsidR="00074068" w:rsidRPr="00074068" w:rsidRDefault="00074068" w:rsidP="00074068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30.0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074068" w:rsidRPr="00074068" w:rsidRDefault="00074068" w:rsidP="00074068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:rsidR="00074068" w:rsidRPr="00074068" w:rsidRDefault="00074068" w:rsidP="00074068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074068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074068" w:rsidRPr="00074068" w:rsidRDefault="00074068" w:rsidP="00074068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t>1.1.1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актами.</w:t>
      </w:r>
      <w:proofErr w:type="gramEnd"/>
    </w:p>
    <w:p w:rsidR="00074068" w:rsidRPr="00074068" w:rsidRDefault="00074068" w:rsidP="00074068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объем информации (количество материалов/единиц информации), размещенной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 (</w:t>
      </w:r>
      <w:proofErr w:type="spell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Истенд</w:t>
      </w:r>
      <w:proofErr w:type="spellEnd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074068" w:rsidRPr="00074068" w:rsidRDefault="00074068" w:rsidP="00074068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1.1.2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</w:r>
      <w:proofErr w:type="gramEnd"/>
    </w:p>
    <w:p w:rsidR="00074068" w:rsidRPr="00074068" w:rsidRDefault="00074068" w:rsidP="00074068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объем информации (количество материалов/единиц информации), размещенной на официальном сайте организации по отношению к количеству материалов, размещение которых установлено нормативными правовыми актами (</w:t>
      </w:r>
      <w:proofErr w:type="spell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Исайт</w:t>
      </w:r>
      <w:proofErr w:type="spellEnd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7" w:tgtFrame="_blank" w:history="1">
        <w:r w:rsidRPr="00074068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1.3 Доля получателей услуг, удовлетворенных открытостью, полнотой и доступностью информации о деятельности организации социальной сферы,</w:t>
        </w:r>
      </w:hyperlink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40%),</w:t>
      </w:r>
      <w:r w:rsidRPr="00074068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074068" w:rsidRPr="00074068" w:rsidRDefault="00074068" w:rsidP="00074068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39.2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074068" w:rsidRPr="00074068" w:rsidRDefault="00074068" w:rsidP="00074068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:rsidR="00074068" w:rsidRPr="00074068" w:rsidRDefault="00074068" w:rsidP="00074068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074068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074068" w:rsidRPr="00074068" w:rsidRDefault="00074068" w:rsidP="00074068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1.3.1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получателей услуг, ответивших на соответствующий вопрос анкеты (</w:t>
      </w:r>
      <w:proofErr w:type="spell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Устенд</w:t>
      </w:r>
      <w:proofErr w:type="spellEnd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98</w:t>
      </w:r>
    </w:p>
    <w:p w:rsidR="00074068" w:rsidRPr="00074068" w:rsidRDefault="00074068" w:rsidP="00074068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1.3.2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числу опрошенных получателей услуг, ответивших на соответствующий вопрос анкеты (</w:t>
      </w:r>
      <w:proofErr w:type="spell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Усайт</w:t>
      </w:r>
      <w:proofErr w:type="spellEnd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07406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074068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</w:p>
    <w:p w:rsidR="00074068" w:rsidRPr="00074068" w:rsidRDefault="00074068" w:rsidP="00074068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074068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074068" w:rsidRPr="00074068" w:rsidRDefault="00074068" w:rsidP="00074068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07406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</w:t>
      </w:r>
    </w:p>
    <w:p w:rsidR="0027693E" w:rsidRDefault="0027693E"/>
    <w:p w:rsidR="008A0671" w:rsidRPr="008A0671" w:rsidRDefault="008A0671" w:rsidP="008A0671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8A0671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br/>
        <w:t>Критерий "Комфортность условий предоставления услуг"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8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2.3 Доля получателей услуг удовлетворенных комфортностью предоставления услуг организацией социальной сферы,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50%),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50.0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50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2.3.1 Удовлетворенность комфортностью предоставления услуг организацией социальной сферы.</w:t>
      </w:r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комфортностью предоставления услуг организацией социальной сферы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Укомф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данный вопрос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9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2.1 Обеспечение в организации социальной сферы комфортных условий предоставления услуг,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50%),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50.0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50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2.1.1 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</w:t>
      </w:r>
      <w:proofErr w:type="gram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</w:r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наличие пяти и более комфортных условий для предоставления 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услуг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  <w:proofErr w:type="spellEnd"/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1" w:rsidRPr="008A0671" w:rsidRDefault="008A0671" w:rsidP="008A0671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8A0671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t>Критерий "Доступность услуг для инвалидов"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60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0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3.3 Доля получателей услуг, удовлетворенных доступностью услуг для инвалидов,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30.0</w:t>
      </w:r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:rsidR="008A0671" w:rsidRPr="008A0671" w:rsidRDefault="008A0671" w:rsidP="008A0671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3.3.1 Удовлетворенность доступностью услуг для инвалидов.</w:t>
      </w:r>
    </w:p>
    <w:p w:rsidR="008A0671" w:rsidRPr="008A0671" w:rsidRDefault="008A0671" w:rsidP="008A0671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услуг-инвалидов, удовлетворенных доступностью услуг для инвалидов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Удост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по отношению к числу опрошенных получателей услуг- инвалидов, ответивших на соответствующий вопрос анкеты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Чинв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1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3.1 Оборудование помещений организации социальной сферы и прилегающей к ней территории с учетом доступности для инвалидов,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6.0</w:t>
      </w:r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:rsidR="008A0671" w:rsidRPr="008A0671" w:rsidRDefault="008A0671" w:rsidP="008A0671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3.1.1 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</w:r>
      <w:proofErr w:type="gramEnd"/>
    </w:p>
    <w:p w:rsidR="008A0671" w:rsidRPr="008A0671" w:rsidRDefault="008A0671" w:rsidP="008A0671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количество условий доступности организации для 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инвалидов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  <w:proofErr w:type="spellEnd"/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20</w:t>
      </w:r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2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3.2 Обеспечение в организации социальной сферы условий доступности, позволяющих инвалидам получать услуги наравне с другими,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24.0</w:t>
      </w:r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:rsidR="008A0671" w:rsidRPr="008A0671" w:rsidRDefault="008A0671" w:rsidP="008A0671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3.2.1 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сурдопереводчика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тифлосурдопереводчика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);</w:t>
      </w:r>
      <w:proofErr w:type="gram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</w:r>
    </w:p>
    <w:p w:rsidR="008A0671" w:rsidRPr="008A0671" w:rsidRDefault="008A0671" w:rsidP="008A0671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количество условий доступности, позволяющих инвалидам получать услуги наравне с 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другими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  <w:proofErr w:type="spellEnd"/>
    </w:p>
    <w:p w:rsidR="008A0671" w:rsidRPr="008A0671" w:rsidRDefault="008A0671" w:rsidP="008A0671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60</w:t>
      </w:r>
    </w:p>
    <w:p w:rsidR="008A0671" w:rsidRPr="008A0671" w:rsidRDefault="008A0671" w:rsidP="008A0671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8A0671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t>Критерий "Доброжелательность, вежливость работников организаций"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3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39.6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t>4.1.1 Удовлетворенность 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сферы.</w:t>
      </w:r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Уперв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.к</w:t>
      </w:r>
      <w:proofErr w:type="gram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онт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), по отношению к числу опрошенных получателей услуг, ответивших на соответствующий вопрос анкеты ( 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4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39.6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4.2.1 Удовлетворенность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сферы.</w:t>
      </w:r>
      <w:proofErr w:type="gramEnd"/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Уоказ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.у</w:t>
      </w:r>
      <w:proofErr w:type="gram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слуг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), по отношению к числу опрошенных получателей услуг, ответивших на соответствующий вопрос анкеты ( 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5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20%),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19.8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20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4.3.1 Удовлетворенность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пр.).</w:t>
      </w:r>
      <w:proofErr w:type="gramEnd"/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Увежл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.д</w:t>
      </w:r>
      <w:proofErr w:type="gram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ист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соответствующий вопрос анкеты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</w:t>
      </w:r>
    </w:p>
    <w:p w:rsidR="008A0671" w:rsidRPr="008A0671" w:rsidRDefault="008A0671" w:rsidP="008A0671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8A0671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br/>
        <w:t>Критерий "Удовлетворенность условиями оказания услуг"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99.2</w:t>
      </w:r>
    </w:p>
    <w:p w:rsidR="008A0671" w:rsidRPr="008A0671" w:rsidRDefault="008A0671" w:rsidP="008A0671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lastRenderedPageBreak/>
        <w:t>100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6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5.1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29.4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5.1.1 Готовность получателей услуг рекомендовать организацию социальной сферы родственникам и знакомым.</w:t>
      </w:r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Уреком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соответствующий вопрос анкеты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98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7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5.3 Доля получателей услуг, удовлетворенных в целом условиями оказания услуг в организации социальной сферы,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50%),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50.0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50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5.3.1 Удовлетворенность получателей услуг в целом условиями оказания услуг в организации социальной сферы.</w:t>
      </w:r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в целом условиями оказания услуг в организации социальной сферы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Ууд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соответствующий вопрос анкеты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</w:t>
      </w:r>
      <w:proofErr w:type="gramEnd"/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аллы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8" w:tgtFrame="_blank" w:history="1">
        <w:r w:rsidRPr="008A0671">
          <w:rPr>
            <w:rFonts w:ascii="Roboto" w:eastAsia="Times New Roman" w:hAnsi="Roboto" w:cs="Times New Roman"/>
            <w:color w:val="406EAD"/>
            <w:sz w:val="27"/>
            <w:szCs w:val="27"/>
            <w:lang w:eastAsia="ru-RU"/>
          </w:rPr>
          <w:t>5.2 Доля получателей услуг, удовлетворенных организационными условиями предоставления услуг,</w:t>
        </w:r>
      </w:hyperlink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20%),</w:t>
      </w:r>
      <w:r w:rsidRPr="008A0671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19.8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:rsidR="008A0671" w:rsidRPr="008A0671" w:rsidRDefault="008A0671" w:rsidP="008A0671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20</w:t>
      </w:r>
    </w:p>
    <w:p w:rsidR="008A0671" w:rsidRPr="008A0671" w:rsidRDefault="008A0671" w:rsidP="008A0671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8A0671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:rsidR="008A0671" w:rsidRPr="008A0671" w:rsidRDefault="008A0671" w:rsidP="008A0671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5.2.1 Удовлетворенность получателей услуг организационными условиями оказания услуг, например: наличием и понятностью навигации внутри организации социальной сферы; графиком работы организации социальной сферы (подразделения, отдельных специалистов, графиком прихода социального работника на дом и пр.).</w:t>
      </w:r>
    </w:p>
    <w:p w:rsidR="008A0671" w:rsidRPr="008A0671" w:rsidRDefault="008A0671" w:rsidP="008A0671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организационными условиями предоставления услуг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Уорг</w:t>
      </w:r>
      <w:proofErr w:type="gram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.у</w:t>
      </w:r>
      <w:proofErr w:type="gram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сл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 ответивших на соответствующий вопрос анкеты (</w:t>
      </w:r>
      <w:proofErr w:type="spellStart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8A067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8A0671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:rsidR="008A0671" w:rsidRPr="008A0671" w:rsidRDefault="008A0671" w:rsidP="008A0671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8A0671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:rsidR="008A0671" w:rsidRPr="008A0671" w:rsidRDefault="008A0671" w:rsidP="008A0671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8A0671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99</w:t>
      </w:r>
    </w:p>
    <w:p w:rsidR="008A0671" w:rsidRDefault="008A0671"/>
    <w:sectPr w:rsidR="008A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2C"/>
    <w:rsid w:val="00074068"/>
    <w:rsid w:val="001201AC"/>
    <w:rsid w:val="001A4B49"/>
    <w:rsid w:val="0027693E"/>
    <w:rsid w:val="0054422C"/>
    <w:rsid w:val="008A0671"/>
    <w:rsid w:val="00CC47D0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0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0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3234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6618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2687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4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4553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0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967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5292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144954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1156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2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708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452956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16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12619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8007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0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58060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329417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7931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52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8071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11907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6647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9905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1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60886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470303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6039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724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8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76035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45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582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6311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3620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95696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5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3873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4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2746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3469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02817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20459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6066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129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90175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1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596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41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0036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121700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2622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79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4763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21601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3824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11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2345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5255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417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554284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6133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7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2063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1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5398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432">
              <w:marLeft w:val="75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5042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1365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94892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45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5095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445935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3193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72529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9630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7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8080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58659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97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76741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1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840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991824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8331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79528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8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1470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2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6491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  <w:div w:id="17735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14257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30203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59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7103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237038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99503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4247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  <w:div w:id="14170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82985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40538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1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7196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68962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5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2759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1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7024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6111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0107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6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90781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290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5294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1234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59655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1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8341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850011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9470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6310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7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7821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3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1137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89427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7840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8243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9073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055773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9465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8530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5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719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346155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6904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2871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54618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949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7128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24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2875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8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0990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6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3810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436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1614">
              <w:marLeft w:val="75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8866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1127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3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05866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95926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76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8014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0472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30484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67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38604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12013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1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8554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9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17577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605933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15348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41422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50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5075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4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04425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47158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5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76414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73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20390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739991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89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5171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3276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027302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18331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0213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9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2875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255552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9621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6823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11049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08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2636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37148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2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9582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55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84005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02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5004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3834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24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7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34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747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806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618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2926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441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criterions/30341" TargetMode="External"/><Relationship Id="rId13" Type="http://schemas.openxmlformats.org/officeDocument/2006/relationships/hyperlink" Target="https://bus.gov.ru/criterions/30345" TargetMode="External"/><Relationship Id="rId18" Type="http://schemas.openxmlformats.org/officeDocument/2006/relationships/hyperlink" Target="https://bus.gov.ru/criterions/30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.gov.ru/criterions/30349" TargetMode="External"/><Relationship Id="rId12" Type="http://schemas.openxmlformats.org/officeDocument/2006/relationships/hyperlink" Target="https://bus.gov.ru/criterions/30347" TargetMode="External"/><Relationship Id="rId17" Type="http://schemas.openxmlformats.org/officeDocument/2006/relationships/hyperlink" Target="https://bus.gov.ru/criterions/303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us.gov.ru/criterions/3034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us.gov.ru/criterions/30337" TargetMode="External"/><Relationship Id="rId11" Type="http://schemas.openxmlformats.org/officeDocument/2006/relationships/hyperlink" Target="https://bus.gov.ru/criterions/30348" TargetMode="External"/><Relationship Id="rId5" Type="http://schemas.openxmlformats.org/officeDocument/2006/relationships/hyperlink" Target="https://bus.gov.ru/criterions/30350" TargetMode="External"/><Relationship Id="rId15" Type="http://schemas.openxmlformats.org/officeDocument/2006/relationships/hyperlink" Target="https://bus.gov.ru/criterions/30343" TargetMode="External"/><Relationship Id="rId10" Type="http://schemas.openxmlformats.org/officeDocument/2006/relationships/hyperlink" Target="https://bus.gov.ru/criterions/303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s.gov.ru/criterions/30457" TargetMode="External"/><Relationship Id="rId14" Type="http://schemas.openxmlformats.org/officeDocument/2006/relationships/hyperlink" Target="https://bus.gov.ru/criterions/30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1</cp:revision>
  <cp:lastPrinted>2023-02-02T05:00:00Z</cp:lastPrinted>
  <dcterms:created xsi:type="dcterms:W3CDTF">2023-02-02T04:13:00Z</dcterms:created>
  <dcterms:modified xsi:type="dcterms:W3CDTF">2023-02-03T00:57:00Z</dcterms:modified>
</cp:coreProperties>
</file>